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EB512D" w:rsidP="00F2316C">
            <w:pPr>
              <w:spacing w:after="0" w:line="360" w:lineRule="auto"/>
              <w:ind w:left="0" w:right="62" w:firstLine="0"/>
              <w:jc w:val="center"/>
            </w:pPr>
            <w:r>
              <w:rPr>
                <w:b/>
                <w:color w:val="000000"/>
              </w:rPr>
              <w:t xml:space="preserve">SANAT, TASARIM VE MİMARLIK FAKÜLTESİ </w:t>
            </w:r>
          </w:p>
          <w:p w:rsidR="00453755" w:rsidRDefault="00EB512D" w:rsidP="00F2316C">
            <w:pPr>
              <w:spacing w:after="0" w:line="360" w:lineRule="auto"/>
              <w:ind w:left="0" w:right="62" w:firstLine="0"/>
              <w:jc w:val="center"/>
              <w:rPr>
                <w:b/>
                <w:color w:val="000000"/>
              </w:rPr>
            </w:pPr>
            <w:r w:rsidRPr="00EB512D">
              <w:rPr>
                <w:b/>
                <w:color w:val="000000"/>
              </w:rPr>
              <w:t xml:space="preserve">BURS KOMİSYONU </w:t>
            </w:r>
          </w:p>
          <w:p w:rsidR="00951133" w:rsidRDefault="00EB512D" w:rsidP="00F2316C">
            <w:pPr>
              <w:spacing w:after="0" w:line="360" w:lineRule="auto"/>
              <w:ind w:left="0" w:right="62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FB23E5">
              <w:rPr>
                <w:color w:val="000000"/>
              </w:rPr>
              <w:t>0</w:t>
            </w:r>
            <w:r w:rsidR="00EB512D">
              <w:rPr>
                <w:color w:val="000000"/>
              </w:rPr>
              <w:t>3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>1/</w:t>
            </w:r>
            <w:r w:rsidR="007F58B9">
              <w:rPr>
                <w:color w:val="000000"/>
              </w:rPr>
              <w:t>1</w:t>
            </w:r>
          </w:p>
        </w:tc>
      </w:tr>
    </w:tbl>
    <w:p w:rsidR="00951133" w:rsidRDefault="00401E85" w:rsidP="004F61AD">
      <w:pPr>
        <w:spacing w:after="0" w:line="240" w:lineRule="auto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9931" w:type="dxa"/>
        <w:tblInd w:w="-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931"/>
      </w:tblGrid>
      <w:tr w:rsidR="00EB512D" w:rsidTr="00EB512D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r>
              <w:rPr>
                <w:b/>
                <w:color w:val="000000"/>
              </w:rPr>
              <w:t xml:space="preserve">Görev </w:t>
            </w:r>
          </w:p>
        </w:tc>
      </w:tr>
      <w:tr w:rsidR="00EB512D" w:rsidTr="00EB512D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r>
              <w:rPr>
                <w:color w:val="000000"/>
              </w:rPr>
              <w:t xml:space="preserve">Burs ve yardımlar konusunda öğrencileri bilgilendirilmek, başvurularını almak ve değerlendirmek. </w:t>
            </w:r>
          </w:p>
        </w:tc>
      </w:tr>
      <w:tr w:rsidR="00EB512D" w:rsidTr="00EB512D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r>
              <w:rPr>
                <w:b/>
                <w:color w:val="000000"/>
              </w:rPr>
              <w:t xml:space="preserve">Üstü </w:t>
            </w:r>
          </w:p>
        </w:tc>
      </w:tr>
      <w:tr w:rsidR="00EB512D" w:rsidTr="00EB512D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r>
              <w:rPr>
                <w:color w:val="000000"/>
              </w:rPr>
              <w:t xml:space="preserve">Bölüm Başkanı </w:t>
            </w:r>
          </w:p>
        </w:tc>
      </w:tr>
      <w:tr w:rsidR="00EB512D" w:rsidTr="00EB512D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r>
              <w:rPr>
                <w:b/>
                <w:color w:val="000000"/>
              </w:rPr>
              <w:t xml:space="preserve">Vekili </w:t>
            </w:r>
          </w:p>
        </w:tc>
      </w:tr>
      <w:tr w:rsidR="00EB512D" w:rsidTr="00EB512D">
        <w:trPr>
          <w:trHeight w:val="279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r>
              <w:rPr>
                <w:color w:val="000000"/>
              </w:rPr>
              <w:t xml:space="preserve">Komisyon Başkanı </w:t>
            </w:r>
          </w:p>
        </w:tc>
      </w:tr>
      <w:tr w:rsidR="00EB512D" w:rsidTr="00EB512D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r>
              <w:rPr>
                <w:b/>
                <w:color w:val="000000"/>
              </w:rPr>
              <w:t xml:space="preserve">Nitelikler </w:t>
            </w:r>
          </w:p>
        </w:tc>
      </w:tr>
      <w:tr w:rsidR="00EB512D" w:rsidTr="00EB512D">
        <w:trPr>
          <w:trHeight w:val="290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pPr>
              <w:tabs>
                <w:tab w:val="center" w:pos="3695"/>
              </w:tabs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Görevin gerektirdiği ilgili yönetmelik/yönerge hakkında bilgi sahibi olmak. </w:t>
            </w:r>
          </w:p>
        </w:tc>
      </w:tr>
      <w:tr w:rsidR="00EB512D" w:rsidTr="00EB512D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r>
              <w:rPr>
                <w:b/>
                <w:color w:val="000000"/>
              </w:rPr>
              <w:t xml:space="preserve">İlgili Mevzuat </w:t>
            </w:r>
            <w:bookmarkStart w:id="0" w:name="_GoBack"/>
            <w:bookmarkEnd w:id="0"/>
          </w:p>
        </w:tc>
      </w:tr>
      <w:tr w:rsidR="00EB512D" w:rsidTr="00EB512D">
        <w:trPr>
          <w:trHeight w:val="571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pPr>
              <w:ind w:left="58" w:right="2984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Bandırma Onyedi Eylül Üniversitesi Öğrenci Yemek Bursu Yönergesi,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İlgili Eğitim Burslarının Yönergeleri. </w:t>
            </w:r>
          </w:p>
        </w:tc>
      </w:tr>
      <w:tr w:rsidR="00EB512D" w:rsidTr="00EB512D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r>
              <w:rPr>
                <w:b/>
                <w:color w:val="000000"/>
              </w:rPr>
              <w:t xml:space="preserve">Görev ve Sorumluluklar </w:t>
            </w:r>
          </w:p>
        </w:tc>
      </w:tr>
      <w:tr w:rsidR="00EB512D" w:rsidTr="00EB512D">
        <w:trPr>
          <w:trHeight w:val="2789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EB512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color w:val="000000"/>
              </w:rPr>
              <w:t xml:space="preserve">Üniversite ve fakülteye bildirilen burs ve yardımlar konusunda öğrencileri bilgilendirmek,  </w:t>
            </w:r>
          </w:p>
          <w:p w:rsidR="00EB512D" w:rsidRDefault="00EB512D" w:rsidP="00EB512D">
            <w:pPr>
              <w:numPr>
                <w:ilvl w:val="0"/>
                <w:numId w:val="17"/>
              </w:numPr>
              <w:spacing w:after="46"/>
              <w:ind w:hanging="360"/>
            </w:pPr>
            <w:r>
              <w:rPr>
                <w:color w:val="000000"/>
              </w:rPr>
              <w:t xml:space="preserve">Fakültenin sağladığı ve üniversiteye bildirilen burs kontenjanları doğrultusunda öğrencilerin burs başvurularını değerlendirmek, </w:t>
            </w:r>
          </w:p>
          <w:p w:rsidR="00EB512D" w:rsidRDefault="00EB512D" w:rsidP="00EB512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color w:val="000000"/>
              </w:rPr>
              <w:t xml:space="preserve">Burs almaya aday öğrencilerin belirlenmesini sağlamak, </w:t>
            </w:r>
          </w:p>
          <w:p w:rsidR="00EB512D" w:rsidRDefault="00EB512D" w:rsidP="00EB512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color w:val="000000"/>
              </w:rPr>
              <w:t xml:space="preserve">Burs sonuçlarının ilan edilmesini sağlamak, </w:t>
            </w:r>
          </w:p>
          <w:p w:rsidR="00EB512D" w:rsidRDefault="00EB512D" w:rsidP="00EB512D">
            <w:pPr>
              <w:numPr>
                <w:ilvl w:val="0"/>
                <w:numId w:val="17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Bölümün diğer komisyonları ile iş birliği içinde çalışmak ve ilgili ihtiyaçlara yönelik uygun çözüm yöntemlerinin oluşturulmasını sağlamak, </w:t>
            </w:r>
          </w:p>
          <w:p w:rsidR="00EB512D" w:rsidRDefault="00EB512D" w:rsidP="00EB512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</w:p>
          <w:p w:rsidR="00EB512D" w:rsidRDefault="00EB512D" w:rsidP="00EB512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Komisyonda alınan kararları bölüm başkanlığı makamına bildirmek, </w:t>
            </w:r>
          </w:p>
          <w:p w:rsidR="00EB512D" w:rsidRDefault="00EB512D" w:rsidP="00EB512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  <w:tr w:rsidR="00EB512D" w:rsidTr="00EB512D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r>
              <w:rPr>
                <w:b/>
                <w:color w:val="000000"/>
              </w:rPr>
              <w:t>Kalite Yönetim Komisyonu</w:t>
            </w:r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 xml:space="preserve">KYS) Kapsamında Görev ve Sorumluluklar </w:t>
            </w:r>
          </w:p>
        </w:tc>
      </w:tr>
      <w:tr w:rsidR="00EB512D" w:rsidTr="00EB512D">
        <w:trPr>
          <w:trHeight w:val="2499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EB512D">
            <w:pPr>
              <w:numPr>
                <w:ilvl w:val="0"/>
                <w:numId w:val="18"/>
              </w:numPr>
              <w:spacing w:after="46"/>
              <w:ind w:hanging="360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EB512D" w:rsidRDefault="00EB512D" w:rsidP="00EB512D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  <w:p w:rsidR="00EB512D" w:rsidRDefault="00EB512D" w:rsidP="00EB512D">
            <w:pPr>
              <w:numPr>
                <w:ilvl w:val="0"/>
                <w:numId w:val="18"/>
              </w:numPr>
              <w:spacing w:after="44"/>
              <w:ind w:hanging="360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  <w:p w:rsidR="00EB512D" w:rsidRDefault="00EB512D" w:rsidP="00EB512D">
            <w:pPr>
              <w:numPr>
                <w:ilvl w:val="0"/>
                <w:numId w:val="18"/>
              </w:numPr>
              <w:spacing w:after="46"/>
              <w:ind w:hanging="360"/>
            </w:pPr>
            <w:r>
              <w:rPr>
                <w:color w:val="000000"/>
              </w:rPr>
              <w:t xml:space="preserve">KYS kapsamında biriminde yapılacak düzeltici ve önleyici faaliyetlerin yerine getirilmesine katkı sağlamak, </w:t>
            </w:r>
          </w:p>
          <w:p w:rsidR="00EB512D" w:rsidRDefault="00EB512D" w:rsidP="00EB512D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color w:val="000000"/>
              </w:rPr>
              <w:t xml:space="preserve">Yaptığı işle ilgili iyileştirme önerilerini Kalite Koordinatörlüğü ile paylaşmak,  </w:t>
            </w:r>
          </w:p>
          <w:p w:rsidR="00EB512D" w:rsidRDefault="00EB512D" w:rsidP="00EB512D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color w:val="000000"/>
              </w:rPr>
              <w:t xml:space="preserve">KYS çalışmaları kapsamında yapılan faaliyetlere birimi adına katkı sağlamak. </w:t>
            </w:r>
          </w:p>
        </w:tc>
      </w:tr>
      <w:tr w:rsidR="00EB512D" w:rsidTr="00EB512D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r>
              <w:rPr>
                <w:b/>
                <w:color w:val="000000"/>
              </w:rPr>
              <w:t xml:space="preserve">Yetkiler </w:t>
            </w:r>
          </w:p>
        </w:tc>
      </w:tr>
      <w:tr w:rsidR="00EB512D" w:rsidTr="00EB512D">
        <w:trPr>
          <w:trHeight w:val="290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12D" w:rsidRDefault="00EB512D" w:rsidP="001367B0">
            <w:pPr>
              <w:tabs>
                <w:tab w:val="center" w:pos="3892"/>
              </w:tabs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Gerekli mevzuat doğrultusunda inceleme, değerlendirme ve onaylama yetkisi. </w:t>
            </w:r>
          </w:p>
        </w:tc>
      </w:tr>
    </w:tbl>
    <w:p w:rsidR="00EB512D" w:rsidRDefault="00EB512D" w:rsidP="004F61AD">
      <w:pPr>
        <w:spacing w:after="0" w:line="240" w:lineRule="auto"/>
        <w:ind w:left="0" w:firstLine="0"/>
      </w:pPr>
    </w:p>
    <w:p w:rsidR="00EB512D" w:rsidRDefault="00EB512D" w:rsidP="004F61AD">
      <w:pPr>
        <w:spacing w:after="0" w:line="240" w:lineRule="auto"/>
        <w:ind w:left="0" w:firstLine="0"/>
      </w:pPr>
    </w:p>
    <w:p w:rsidR="003B69DA" w:rsidRDefault="003B69DA" w:rsidP="00931103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9899" w:type="dxa"/>
        <w:tblInd w:w="-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3250"/>
        <w:gridCol w:w="3252"/>
      </w:tblGrid>
      <w:tr w:rsidR="00951133" w:rsidTr="00AB3368">
        <w:trPr>
          <w:trHeight w:val="505"/>
        </w:trPr>
        <w:tc>
          <w:tcPr>
            <w:tcW w:w="3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AB3368">
        <w:trPr>
          <w:trHeight w:val="328"/>
        </w:trPr>
        <w:tc>
          <w:tcPr>
            <w:tcW w:w="3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951133" w:rsidRDefault="00951133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sectPr w:rsidR="00951133" w:rsidSect="003B69DA">
      <w:pgSz w:w="11906" w:h="16838"/>
      <w:pgMar w:top="567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DDF"/>
    <w:multiLevelType w:val="hybridMultilevel"/>
    <w:tmpl w:val="FDDA5FDE"/>
    <w:lvl w:ilvl="0" w:tplc="487E7E5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ABD3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C7F3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24D6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D660A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4B68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4DE1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E7D14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67D4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230076"/>
    <w:multiLevelType w:val="hybridMultilevel"/>
    <w:tmpl w:val="965E0C0C"/>
    <w:lvl w:ilvl="0" w:tplc="911A404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8429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EC51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AACE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C402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9C64D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E6E6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66CF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05B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1C7514"/>
    <w:multiLevelType w:val="hybridMultilevel"/>
    <w:tmpl w:val="9D3A3332"/>
    <w:lvl w:ilvl="0" w:tplc="8E7EE1C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6576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D6F830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60CBA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F402E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E3F68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8E74C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929F56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048848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185DF7"/>
    <w:multiLevelType w:val="hybridMultilevel"/>
    <w:tmpl w:val="269EEC5E"/>
    <w:lvl w:ilvl="0" w:tplc="99D4006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C6008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283B8C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A8FC2E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7EDF1C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0582E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92D76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23D46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22A8C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D03215"/>
    <w:multiLevelType w:val="hybridMultilevel"/>
    <w:tmpl w:val="FB8CABAE"/>
    <w:lvl w:ilvl="0" w:tplc="C7C4662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8F99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E8520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CCD5A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ECDD7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2FCC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2A4DB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66DA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0949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4"/>
  </w:num>
  <w:num w:numId="5">
    <w:abstractNumId w:val="16"/>
  </w:num>
  <w:num w:numId="6">
    <w:abstractNumId w:val="17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2"/>
  </w:num>
  <w:num w:numId="13">
    <w:abstractNumId w:val="15"/>
  </w:num>
  <w:num w:numId="14">
    <w:abstractNumId w:val="0"/>
  </w:num>
  <w:num w:numId="15">
    <w:abstractNumId w:val="14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3B69DA"/>
    <w:rsid w:val="00401E85"/>
    <w:rsid w:val="00453755"/>
    <w:rsid w:val="004F61AD"/>
    <w:rsid w:val="005327E2"/>
    <w:rsid w:val="0077320B"/>
    <w:rsid w:val="007F58B9"/>
    <w:rsid w:val="00872A65"/>
    <w:rsid w:val="00931103"/>
    <w:rsid w:val="00951133"/>
    <w:rsid w:val="00AB3368"/>
    <w:rsid w:val="00E27D94"/>
    <w:rsid w:val="00EB512D"/>
    <w:rsid w:val="00EE3F73"/>
    <w:rsid w:val="00F2316C"/>
    <w:rsid w:val="00F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14</cp:revision>
  <dcterms:created xsi:type="dcterms:W3CDTF">2025-02-14T12:38:00Z</dcterms:created>
  <dcterms:modified xsi:type="dcterms:W3CDTF">2025-10-16T07:14:00Z</dcterms:modified>
</cp:coreProperties>
</file>